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99781" w14:textId="30E6C781" w:rsidR="007E074E" w:rsidRPr="00502C7B" w:rsidRDefault="003A6706">
      <w:pPr>
        <w:rPr>
          <w:b/>
          <w:bCs/>
          <w:color w:val="FF0000"/>
          <w:sz w:val="28"/>
          <w:szCs w:val="28"/>
        </w:rPr>
      </w:pPr>
      <w:r w:rsidRPr="00502C7B">
        <w:rPr>
          <w:b/>
          <w:bCs/>
          <w:color w:val="FF0000"/>
          <w:sz w:val="28"/>
          <w:szCs w:val="28"/>
        </w:rPr>
        <w:t>Vprašanja in odgovori</w:t>
      </w:r>
      <w:r w:rsidR="003C0F9F">
        <w:rPr>
          <w:b/>
          <w:bCs/>
          <w:color w:val="FF0000"/>
          <w:sz w:val="28"/>
          <w:szCs w:val="28"/>
        </w:rPr>
        <w:t xml:space="preserve"> – 1. del:</w:t>
      </w:r>
    </w:p>
    <w:p w14:paraId="0815007A" w14:textId="3EF451A6" w:rsidR="003A6706" w:rsidRPr="003A6706" w:rsidRDefault="003A6706">
      <w:pPr>
        <w:rPr>
          <w:b/>
          <w:bCs/>
        </w:rPr>
      </w:pPr>
      <w:r w:rsidRPr="003A6706">
        <w:rPr>
          <w:b/>
          <w:bCs/>
        </w:rPr>
        <w:t xml:space="preserve">Ali lahko društva sredstva za plačilo stroškov projekta pridobi iz sredstev, pridobljenih na občinskih razpisih? </w:t>
      </w:r>
    </w:p>
    <w:p w14:paraId="53D63EB6" w14:textId="6FDF40FC" w:rsidR="003A6706" w:rsidRDefault="003A6706">
      <w:r w:rsidRPr="003A6706">
        <w:rPr>
          <w:b/>
          <w:bCs/>
        </w:rPr>
        <w:t>Odgovor:</w:t>
      </w:r>
      <w:r>
        <w:t xml:space="preserve"> Upravičeni stroški posameznega projekta ne smejo biti financirani z drugimi javnimi sredstvi. V primeru</w:t>
      </w:r>
      <w:r w:rsidR="007253BF">
        <w:t>, da bi iste aktivnosti sofinancirali iz sredstev LAS in občinskih sredstev,</w:t>
      </w:r>
      <w:r>
        <w:t xml:space="preserve"> bi šlo za dvojno financiranje, ki pa ni dovoljeno. Istih projektov, ki ste jih prijavljali na občinske razpise, ne morete prijavljati tudi na pozive LAS</w:t>
      </w:r>
      <w:r w:rsidR="00557194">
        <w:t xml:space="preserve">. </w:t>
      </w:r>
    </w:p>
    <w:p w14:paraId="58D1E883" w14:textId="77777777" w:rsidR="003A6706" w:rsidRDefault="003A6706"/>
    <w:p w14:paraId="164BA720" w14:textId="39063D27" w:rsidR="003A6706" w:rsidRPr="003A6706" w:rsidRDefault="003A6706">
      <w:pPr>
        <w:rPr>
          <w:b/>
          <w:bCs/>
        </w:rPr>
      </w:pPr>
      <w:r w:rsidRPr="003A6706">
        <w:rPr>
          <w:b/>
          <w:bCs/>
        </w:rPr>
        <w:t>Ali so lahko društva iz tujine ali pa iz drugih območij partnerji v našem projektu?</w:t>
      </w:r>
    </w:p>
    <w:p w14:paraId="5F8DB524" w14:textId="78B8C644" w:rsidR="003A6706" w:rsidRDefault="003A6706">
      <w:r w:rsidRPr="003A6706">
        <w:rPr>
          <w:b/>
          <w:bCs/>
        </w:rPr>
        <w:t>Odgovor:</w:t>
      </w:r>
      <w:r>
        <w:t xml:space="preserve"> Upravičenci v okviru LAS so lahko večinoma tisti, ki prihajajo iz območja LAS (razen izjem, ki so točno navedene v okviru JP). Iz drugih območij lahko prihajajo zunanji izvajalci, ki so najprej pravilno izbrani, opravijo svoje delo in za svoje opravljeno delo izdajo račun upravičencem v okviru LAS. </w:t>
      </w:r>
      <w:r w:rsidR="00CC47CE">
        <w:t xml:space="preserve">Partnerji iz drugih območij lahko sodelujejo le v projektih sodelovanja med </w:t>
      </w:r>
      <w:proofErr w:type="spellStart"/>
      <w:r w:rsidR="00CC47CE">
        <w:t>LASi</w:t>
      </w:r>
      <w:proofErr w:type="spellEnd"/>
      <w:r w:rsidR="00CC47CE">
        <w:t xml:space="preserve"> (opredelitve v SLR).</w:t>
      </w:r>
    </w:p>
    <w:p w14:paraId="4EA5D6F3" w14:textId="77777777" w:rsidR="007253BF" w:rsidRDefault="007253BF">
      <w:pPr>
        <w:rPr>
          <w:b/>
          <w:bCs/>
        </w:rPr>
      </w:pPr>
    </w:p>
    <w:p w14:paraId="6AC1C64C" w14:textId="1C42EDB4" w:rsidR="003A6706" w:rsidRPr="003A6706" w:rsidRDefault="003A6706">
      <w:pPr>
        <w:rPr>
          <w:b/>
          <w:bCs/>
        </w:rPr>
      </w:pPr>
      <w:r w:rsidRPr="003A6706">
        <w:rPr>
          <w:b/>
          <w:bCs/>
        </w:rPr>
        <w:t xml:space="preserve">Izvedli bi radi investicijski projekt. Ali moramo obvezno koristiti 20 % pavšal? Za kaj ga </w:t>
      </w:r>
      <w:r w:rsidR="00502C7B">
        <w:rPr>
          <w:b/>
          <w:bCs/>
        </w:rPr>
        <w:t>lahko</w:t>
      </w:r>
      <w:r w:rsidRPr="003A6706">
        <w:rPr>
          <w:b/>
          <w:bCs/>
        </w:rPr>
        <w:t xml:space="preserve"> uporabimo</w:t>
      </w:r>
      <w:r w:rsidR="00502C7B">
        <w:rPr>
          <w:b/>
          <w:bCs/>
        </w:rPr>
        <w:t>?</w:t>
      </w:r>
      <w:r w:rsidRPr="003A6706">
        <w:rPr>
          <w:b/>
          <w:bCs/>
        </w:rPr>
        <w:t xml:space="preserve"> Ali morajo vsi partnerji izvajati investicijo?</w:t>
      </w:r>
    </w:p>
    <w:p w14:paraId="26D34AD7" w14:textId="706AB60A" w:rsidR="003A6706" w:rsidRDefault="003A6706">
      <w:r w:rsidRPr="003A6706">
        <w:rPr>
          <w:b/>
          <w:bCs/>
        </w:rPr>
        <w:t>Odgovor:</w:t>
      </w:r>
      <w:r>
        <w:t xml:space="preserve"> V kolikor gre za investicijski projekt, pripada vsem partnerjem, ki imajo stroške investicije, 20 % pavšala. Ta pavšal se uporabi za stroške dela zaposlenih na projektu, ne za druge stroške. Če partnerji nimajo investicije, </w:t>
      </w:r>
      <w:r w:rsidR="00FC21F6">
        <w:t xml:space="preserve">nimajo osnove za izračun pavšala in posledično </w:t>
      </w:r>
      <w:r>
        <w:t xml:space="preserve">niso upravičeni do pavšala. Potem se pojavi vprašanje, ali jih je sploh smiselno vključevati v projektno partnerstvo. Lahko </w:t>
      </w:r>
      <w:r w:rsidR="00FC21F6">
        <w:t>bi bili</w:t>
      </w:r>
      <w:r>
        <w:t xml:space="preserve"> zunanji izvajalci</w:t>
      </w:r>
      <w:r w:rsidR="00FC21F6">
        <w:t>, če niso povezani s prijaviteljem oz. drugimi partnerji.</w:t>
      </w:r>
    </w:p>
    <w:p w14:paraId="266A1D40" w14:textId="77777777" w:rsidR="007253BF" w:rsidRDefault="007253BF" w:rsidP="001227E8">
      <w:pPr>
        <w:rPr>
          <w:b/>
          <w:bCs/>
        </w:rPr>
      </w:pPr>
    </w:p>
    <w:p w14:paraId="5EE9A410" w14:textId="4B3409D5" w:rsidR="001227E8" w:rsidRDefault="001227E8" w:rsidP="001227E8">
      <w:pPr>
        <w:rPr>
          <w:b/>
          <w:bCs/>
        </w:rPr>
      </w:pPr>
      <w:r>
        <w:rPr>
          <w:b/>
          <w:bCs/>
        </w:rPr>
        <w:t>Kako lahko dokažem (finančno) sposobnost društva za izvedbo projekta?</w:t>
      </w:r>
    </w:p>
    <w:p w14:paraId="73AB487D" w14:textId="79754D92" w:rsidR="00DF79A3" w:rsidRPr="00250966" w:rsidRDefault="00DF79A3" w:rsidP="00DF79A3">
      <w:r>
        <w:rPr>
          <w:b/>
          <w:bCs/>
        </w:rPr>
        <w:t xml:space="preserve">Odgovor: </w:t>
      </w:r>
      <w:r>
        <w:t>V postopku ocenjevanja bo preverjena tudi sposobnost partnerjev za izvedbo projektov. Občine to dokažejo tako, da projekt (z istim nazivom) vključijo v svoj NRP. K vlogi predložijo izpis iz NRP ali pa izjavo, da bodo projekt vključili v NRP, ko bodo naredili rebalans proračuna.</w:t>
      </w:r>
      <w:r w:rsidR="00984C8E">
        <w:t xml:space="preserve"> Ostali partnerji naj to dokažejo z npr. izpisom </w:t>
      </w:r>
      <w:r w:rsidR="00840051">
        <w:t xml:space="preserve">bilanc za pravne osebe, izpisom </w:t>
      </w:r>
      <w:r w:rsidR="00984C8E">
        <w:t xml:space="preserve">iz TRR, kjer je razvidna višina sredstev, </w:t>
      </w:r>
      <w:r w:rsidR="00067F94">
        <w:t>programom društva za naslednja leta, kjer je projekt opredeljen tako vsebinsko kot finančno ipd.</w:t>
      </w:r>
    </w:p>
    <w:p w14:paraId="51F5ECCE" w14:textId="77777777" w:rsidR="00067F94" w:rsidRDefault="00067F94" w:rsidP="00DF79A3">
      <w:pPr>
        <w:rPr>
          <w:b/>
          <w:bCs/>
        </w:rPr>
      </w:pPr>
    </w:p>
    <w:p w14:paraId="79A9A217" w14:textId="64DEC9F0" w:rsidR="00DF79A3" w:rsidRDefault="00DF79A3" w:rsidP="00DF79A3">
      <w:pPr>
        <w:rPr>
          <w:b/>
          <w:bCs/>
        </w:rPr>
      </w:pPr>
      <w:r w:rsidRPr="00B47A11">
        <w:rPr>
          <w:b/>
          <w:bCs/>
        </w:rPr>
        <w:t>Kakšni so pogoji za uveljavljanje predplačila?</w:t>
      </w:r>
    </w:p>
    <w:p w14:paraId="4DE46CFF" w14:textId="77777777" w:rsidR="00932F46" w:rsidRDefault="006E5602" w:rsidP="00DF79A3">
      <w:r w:rsidRPr="00E07E6D">
        <w:t>Predplačilo lahko uveljavlja</w:t>
      </w:r>
      <w:r w:rsidR="000168B8">
        <w:t>jo upravičenci</w:t>
      </w:r>
      <w:r w:rsidR="003570D1">
        <w:t>, kot je navedeno v</w:t>
      </w:r>
      <w:r w:rsidRPr="00E07E6D">
        <w:t xml:space="preserve"> 10. člen</w:t>
      </w:r>
      <w:r w:rsidR="003570D1">
        <w:t>u</w:t>
      </w:r>
      <w:r w:rsidRPr="00E07E6D">
        <w:t xml:space="preserve"> Uredbe LEADER/CLLD.</w:t>
      </w:r>
      <w:r w:rsidR="00E07E6D">
        <w:t xml:space="preserve"> </w:t>
      </w:r>
    </w:p>
    <w:p w14:paraId="2CDC0BEE" w14:textId="447B6BD4" w:rsidR="006E5602" w:rsidRDefault="00E07E6D" w:rsidP="00DF79A3">
      <w:r>
        <w:t xml:space="preserve">Predplačilo do 30 % predvidenih pogodbenih obveznosti (to je sofinanciranja) </w:t>
      </w:r>
      <w:r w:rsidR="000168B8">
        <w:t xml:space="preserve">se lahko odobri enkratno, brez predvidene bančne garancije. </w:t>
      </w:r>
      <w:r w:rsidR="006E5602" w:rsidRPr="00E07E6D">
        <w:t xml:space="preserve"> </w:t>
      </w:r>
      <w:r w:rsidR="005F7B0C">
        <w:t xml:space="preserve">Citat </w:t>
      </w:r>
      <w:r w:rsidR="006409CE">
        <w:t>3. točke 33. člena ZIPRS2425</w:t>
      </w:r>
      <w:r w:rsidR="001F3CE1">
        <w:t>, da so predplačila dovoljena:</w:t>
      </w:r>
    </w:p>
    <w:p w14:paraId="61EFC0F3" w14:textId="08D8AAF8" w:rsidR="006409CE" w:rsidRDefault="00EA6AF5" w:rsidP="00DF79A3">
      <w:pPr>
        <w:rPr>
          <w:i/>
          <w:iCs/>
        </w:rPr>
      </w:pPr>
      <w:r w:rsidRPr="00EA6AF5">
        <w:rPr>
          <w:i/>
          <w:iCs/>
        </w:rPr>
        <w:t>»</w:t>
      </w:r>
      <w:r w:rsidRPr="00EA6AF5">
        <w:rPr>
          <w:i/>
          <w:iCs/>
        </w:rPr>
        <w:t xml:space="preserve">  do višine 30 odstotkov predvidenih pogodbenih obveznosti za sofinanciranje dejavnosti, programov in projektov pod pogojem, da je prejemnik oseba zasebnega prava ter je ustanovljena </w:t>
      </w:r>
      <w:r w:rsidRPr="00EA6AF5">
        <w:rPr>
          <w:i/>
          <w:iCs/>
        </w:rPr>
        <w:lastRenderedPageBreak/>
        <w:t>in deluje kot društvo, zasebni zavod ali ustanova oziroma za sofinanciranje programov in projektov, če je prejemnik oseba javnega prava ter je ustanovljena in deluje kot javni zavod, javni sklad, javna agencija s področja kulture, samoupravne narodne skupnosti ali zbornica, ki izvaja javna pooblastila po zakonu;</w:t>
      </w:r>
      <w:r w:rsidRPr="00EA6AF5">
        <w:rPr>
          <w:i/>
          <w:iCs/>
        </w:rPr>
        <w:t>«</w:t>
      </w:r>
    </w:p>
    <w:p w14:paraId="3DC9E14C" w14:textId="53BF839D" w:rsidR="00472E8F" w:rsidRDefault="00F84ECA" w:rsidP="00DF79A3">
      <w:r>
        <w:t xml:space="preserve">Posebej pa v primeru </w:t>
      </w:r>
      <w:r w:rsidR="00C81C3B">
        <w:t xml:space="preserve">predplačila brez bančne garancije opozarjamo na to, </w:t>
      </w:r>
      <w:r w:rsidR="00C81C3B" w:rsidRPr="00F403DD">
        <w:rPr>
          <w:u w:val="single"/>
        </w:rPr>
        <w:t xml:space="preserve">da je treba </w:t>
      </w:r>
      <w:r w:rsidR="00F403DD" w:rsidRPr="00F403DD">
        <w:rPr>
          <w:u w:val="single"/>
        </w:rPr>
        <w:t>v roku 180 dni od izplačila predplačila predložiti zahtevek najmanj v višini predplačila.</w:t>
      </w:r>
      <w:r w:rsidR="00F403DD">
        <w:rPr>
          <w:u w:val="single"/>
        </w:rPr>
        <w:t xml:space="preserve"> </w:t>
      </w:r>
      <w:r w:rsidR="00F403DD">
        <w:t xml:space="preserve">Prijaviteljem svetujemo, da so, v kolikor bodo </w:t>
      </w:r>
      <w:r w:rsidR="00472E8F">
        <w:t xml:space="preserve">uveljavljali predplačilo, pozorni tudi na </w:t>
      </w:r>
      <w:r w:rsidR="00883D32">
        <w:t>finančno načrtovanje izvedbe projekta, število dovoljenih faz itd.</w:t>
      </w:r>
    </w:p>
    <w:p w14:paraId="42E82367" w14:textId="617FCF9D" w:rsidR="00472E8F" w:rsidRDefault="00472E8F" w:rsidP="00DF79A3">
      <w:r>
        <w:t xml:space="preserve">Za sklad EKSRP </w:t>
      </w:r>
      <w:r w:rsidR="009A2DF5">
        <w:t xml:space="preserve">je mogoče pridobiti predplačilo </w:t>
      </w:r>
      <w:r w:rsidR="00B25BD1">
        <w:t xml:space="preserve">v višini 50 % </w:t>
      </w:r>
      <w:r w:rsidR="00F7106A">
        <w:t>sofinanciranja</w:t>
      </w:r>
      <w:r w:rsidR="00202ADE">
        <w:t xml:space="preserve"> za upravičence,</w:t>
      </w:r>
      <w:r w:rsidR="00E872AB">
        <w:t xml:space="preserve"> </w:t>
      </w:r>
      <w:r w:rsidR="00202ADE">
        <w:t>ki nimajo statusa, opredeljenega v 33. članu ZIPRS2425</w:t>
      </w:r>
      <w:r w:rsidR="00932F46">
        <w:t xml:space="preserve"> (glej zgornji citat)</w:t>
      </w:r>
      <w:r w:rsidR="00E872AB">
        <w:t>. V tem primeru</w:t>
      </w:r>
      <w:r w:rsidR="00F7106A">
        <w:t xml:space="preserve"> mora </w:t>
      </w:r>
      <w:r w:rsidR="00E872AB">
        <w:t>upravičenec</w:t>
      </w:r>
      <w:r w:rsidR="007814D5">
        <w:t xml:space="preserve"> v roku 30 dni od vročitve odločbe o pravici do sredstev na ARSKTRP</w:t>
      </w:r>
      <w:r w:rsidR="00F7106A">
        <w:t xml:space="preserve"> predložiti originalno bančno garancijo v višini 100% zneska predplačila</w:t>
      </w:r>
      <w:r w:rsidR="007814D5">
        <w:t>.</w:t>
      </w:r>
    </w:p>
    <w:p w14:paraId="165AF1AA" w14:textId="66F39D34" w:rsidR="00524F82" w:rsidRDefault="00524F82" w:rsidP="00DF79A3">
      <w:r>
        <w:t>Vašo namero po uporabi predplačila morate označiti v okviru vaše vloge v aplikaciji za vnos vlog.</w:t>
      </w:r>
    </w:p>
    <w:p w14:paraId="58BC07BD" w14:textId="77777777" w:rsidR="00524F82" w:rsidRDefault="00524F82" w:rsidP="00DF79A3"/>
    <w:p w14:paraId="3506C2BB" w14:textId="05F48BFE" w:rsidR="003C0F9F" w:rsidRPr="0087007B" w:rsidRDefault="00840051" w:rsidP="00DF79A3">
      <w:pPr>
        <w:rPr>
          <w:b/>
          <w:bCs/>
        </w:rPr>
      </w:pPr>
      <w:r w:rsidRPr="0087007B">
        <w:rPr>
          <w:b/>
          <w:bCs/>
        </w:rPr>
        <w:t xml:space="preserve">Izvajali bi projekt </w:t>
      </w:r>
      <w:proofErr w:type="spellStart"/>
      <w:r w:rsidRPr="0087007B">
        <w:rPr>
          <w:b/>
          <w:bCs/>
        </w:rPr>
        <w:t>neinvesticijske</w:t>
      </w:r>
      <w:proofErr w:type="spellEnd"/>
      <w:r w:rsidRPr="0087007B">
        <w:rPr>
          <w:b/>
          <w:bCs/>
        </w:rPr>
        <w:t xml:space="preserve"> narave. V katero kategorijo stroška spadajo </w:t>
      </w:r>
      <w:r w:rsidR="00B24289" w:rsidRPr="0087007B">
        <w:rPr>
          <w:b/>
          <w:bCs/>
        </w:rPr>
        <w:t>potni stroški?</w:t>
      </w:r>
    </w:p>
    <w:p w14:paraId="6FCB2CD6" w14:textId="7994CF1E" w:rsidR="00B24289" w:rsidRDefault="00B24289" w:rsidP="00DF79A3">
      <w:r w:rsidRPr="00B24289">
        <w:rPr>
          <w:b/>
          <w:bCs/>
        </w:rPr>
        <w:t>Odgovor:</w:t>
      </w:r>
      <w:r>
        <w:t xml:space="preserve"> P</w:t>
      </w:r>
      <w:r w:rsidR="00152309">
        <w:t>ri p</w:t>
      </w:r>
      <w:r>
        <w:t>rojekti</w:t>
      </w:r>
      <w:r w:rsidR="00152309">
        <w:t>h</w:t>
      </w:r>
      <w:r>
        <w:t xml:space="preserve"> </w:t>
      </w:r>
      <w:proofErr w:type="spellStart"/>
      <w:r>
        <w:t>neinvesticijske</w:t>
      </w:r>
      <w:proofErr w:type="spellEnd"/>
      <w:r>
        <w:t xml:space="preserve"> narave</w:t>
      </w:r>
      <w:r w:rsidR="0087007B">
        <w:t xml:space="preserve"> je osnova strošek dela,</w:t>
      </w:r>
      <w:r>
        <w:t xml:space="preserve"> </w:t>
      </w:r>
      <w:r w:rsidR="00152309">
        <w:t>potni stroški</w:t>
      </w:r>
      <w:r w:rsidR="0087007B">
        <w:t xml:space="preserve"> pa</w:t>
      </w:r>
      <w:r w:rsidR="00152309">
        <w:t xml:space="preserve"> spadajo v strošek pavšala</w:t>
      </w:r>
      <w:r w:rsidR="00F629FF">
        <w:t>. E</w:t>
      </w:r>
      <w:r w:rsidR="00152309">
        <w:t>nako velja tudi za projekte investicijske narave</w:t>
      </w:r>
      <w:r w:rsidR="0087007B">
        <w:t xml:space="preserve">, kjer je osnova strošek </w:t>
      </w:r>
      <w:r w:rsidR="00F629FF">
        <w:t>nabav in zunanjih storitev.</w:t>
      </w:r>
    </w:p>
    <w:p w14:paraId="6339849F" w14:textId="77777777" w:rsidR="0087007B" w:rsidRDefault="0087007B" w:rsidP="00DF79A3"/>
    <w:p w14:paraId="4E67F053" w14:textId="585B722F" w:rsidR="00F629FF" w:rsidRPr="008E5B05" w:rsidRDefault="00DF39CF" w:rsidP="00DF79A3">
      <w:pPr>
        <w:rPr>
          <w:b/>
          <w:bCs/>
        </w:rPr>
      </w:pPr>
      <w:r w:rsidRPr="008E5B05">
        <w:rPr>
          <w:b/>
          <w:bCs/>
        </w:rPr>
        <w:t xml:space="preserve">Smo društvo in bi radi </w:t>
      </w:r>
      <w:r w:rsidR="00D208CF">
        <w:rPr>
          <w:b/>
          <w:bCs/>
        </w:rPr>
        <w:t xml:space="preserve">sodelovali pri prijavi na JP LAS. </w:t>
      </w:r>
      <w:r w:rsidR="009034C3" w:rsidRPr="008E5B05">
        <w:rPr>
          <w:b/>
          <w:bCs/>
        </w:rPr>
        <w:t xml:space="preserve">Kako je s prostovoljskim delom v tej perspektivi? </w:t>
      </w:r>
    </w:p>
    <w:p w14:paraId="0B4F58CB" w14:textId="542752F9" w:rsidR="008E5B05" w:rsidRDefault="009034C3" w:rsidP="00DF79A3">
      <w:r w:rsidRPr="008E5B05">
        <w:rPr>
          <w:b/>
          <w:bCs/>
        </w:rPr>
        <w:t>Odgovor:</w:t>
      </w:r>
      <w:r>
        <w:t xml:space="preserve"> </w:t>
      </w:r>
      <w:r w:rsidR="00D208CF">
        <w:t xml:space="preserve">Prostovoljsko delo je upravičen strošek pri obeh skladih. </w:t>
      </w:r>
      <w:r>
        <w:t xml:space="preserve">Za prostovoljsko delo </w:t>
      </w:r>
      <w:r w:rsidR="00226665">
        <w:t>mora biti vaše društvo registrirano oz. vpisano v seznam prostovoljskih organizacij.</w:t>
      </w:r>
      <w:r w:rsidR="008E5B05">
        <w:t xml:space="preserve"> Vpis v seznam je mogoče dokaj hitro realizirati, izhaja pa iz tega vpisa tudi nekaj obveznosti (npr. letno poročanje o izvajanju prostovoljskih aktivnosti). </w:t>
      </w:r>
    </w:p>
    <w:p w14:paraId="6B291DAE" w14:textId="77777777" w:rsidR="008E5B05" w:rsidRDefault="00226665" w:rsidP="00DF79A3">
      <w:r>
        <w:t xml:space="preserve">Pri izvedbi </w:t>
      </w:r>
      <w:r w:rsidR="008E5B05">
        <w:t xml:space="preserve">projekta </w:t>
      </w:r>
      <w:r>
        <w:t xml:space="preserve">pa bodo vaši prostovoljci morali priložiti </w:t>
      </w:r>
      <w:r w:rsidR="008E5B05">
        <w:t xml:space="preserve">časovnice z dokazili o izvedenih </w:t>
      </w:r>
    </w:p>
    <w:p w14:paraId="0A8A429F" w14:textId="598F57D3" w:rsidR="009034C3" w:rsidRDefault="008E5B05" w:rsidP="00DF79A3">
      <w:r>
        <w:t>aktivnostih oz. poročilo.</w:t>
      </w:r>
    </w:p>
    <w:p w14:paraId="62E32215" w14:textId="77777777" w:rsidR="008E5B05" w:rsidRDefault="008E5B05" w:rsidP="00DF79A3"/>
    <w:p w14:paraId="04742889" w14:textId="0128CAD8" w:rsidR="008E5B05" w:rsidRPr="000624F5" w:rsidRDefault="008E5B05" w:rsidP="00DF79A3">
      <w:pPr>
        <w:rPr>
          <w:b/>
          <w:bCs/>
        </w:rPr>
      </w:pPr>
      <w:r w:rsidRPr="000624F5">
        <w:rPr>
          <w:b/>
          <w:bCs/>
        </w:rPr>
        <w:t xml:space="preserve">Kako </w:t>
      </w:r>
      <w:r w:rsidR="00E47941" w:rsidRPr="000624F5">
        <w:rPr>
          <w:b/>
          <w:bCs/>
        </w:rPr>
        <w:t xml:space="preserve">naj </w:t>
      </w:r>
      <w:r w:rsidRPr="000624F5">
        <w:rPr>
          <w:b/>
          <w:bCs/>
        </w:rPr>
        <w:t xml:space="preserve">pri skladu EKSRP </w:t>
      </w:r>
      <w:r w:rsidR="00E47941" w:rsidRPr="000624F5">
        <w:rPr>
          <w:b/>
          <w:bCs/>
        </w:rPr>
        <w:t xml:space="preserve">razumemo </w:t>
      </w:r>
      <w:r w:rsidRPr="000624F5">
        <w:rPr>
          <w:b/>
          <w:bCs/>
        </w:rPr>
        <w:t>kazalni</w:t>
      </w:r>
      <w:r w:rsidR="00E47941" w:rsidRPr="000624F5">
        <w:rPr>
          <w:b/>
          <w:bCs/>
        </w:rPr>
        <w:t xml:space="preserve">k R41 </w:t>
      </w:r>
      <w:r w:rsidR="000624F5" w:rsidRPr="000624F5">
        <w:rPr>
          <w:b/>
          <w:bCs/>
        </w:rPr>
        <w:t>Povezovanje evropskega podeželja: delež podeželskega prebivalstva, ki ima koristi od boljšega dostopa do storitev in infrastrukture zaradi podpore iz SKP?</w:t>
      </w:r>
    </w:p>
    <w:p w14:paraId="1CE838D7" w14:textId="4CFCB3E6" w:rsidR="000624F5" w:rsidRDefault="000624F5" w:rsidP="00DF79A3">
      <w:r w:rsidRPr="000624F5">
        <w:rPr>
          <w:b/>
          <w:bCs/>
        </w:rPr>
        <w:t>Odgovor:</w:t>
      </w:r>
      <w:r>
        <w:t xml:space="preserve"> Ne glede na ime kazalnika, ki vsebuje besedico »delež« pri tem kazalniku v vaše vloge vpisujte število podeželskega prebivalstva, ki ima koristi… </w:t>
      </w:r>
      <w:r w:rsidR="009B41E6">
        <w:t xml:space="preserve">Tako bo vaš kazalnik usklajen z načrtovano vrednostjo naše Strategije lokalnega razvoja (SLR). </w:t>
      </w:r>
    </w:p>
    <w:p w14:paraId="13EFC931" w14:textId="77777777" w:rsidR="009B41E6" w:rsidRPr="00104B25" w:rsidRDefault="009B41E6" w:rsidP="00DF79A3">
      <w:pPr>
        <w:rPr>
          <w:b/>
          <w:bCs/>
        </w:rPr>
      </w:pPr>
    </w:p>
    <w:p w14:paraId="7DEE940B" w14:textId="1CF3496A" w:rsidR="00010E6F" w:rsidRPr="00104B25" w:rsidRDefault="00212243" w:rsidP="00DF79A3">
      <w:pPr>
        <w:rPr>
          <w:b/>
          <w:bCs/>
        </w:rPr>
      </w:pPr>
      <w:r w:rsidRPr="00104B25">
        <w:rPr>
          <w:b/>
          <w:bCs/>
        </w:rPr>
        <w:t>Ali moram imeti za izvajanje projekta pravnomočno gradbeno dovoljenje?</w:t>
      </w:r>
    </w:p>
    <w:p w14:paraId="05E615D2" w14:textId="37D83C82" w:rsidR="00212243" w:rsidRDefault="00212243" w:rsidP="00DF79A3">
      <w:r w:rsidRPr="00104B25">
        <w:rPr>
          <w:b/>
          <w:bCs/>
        </w:rPr>
        <w:t>Odgovor:</w:t>
      </w:r>
      <w:r>
        <w:t xml:space="preserve"> Če zakonodaja predpisuje gradbeno dovoljenje, mora biti le-to </w:t>
      </w:r>
      <w:r w:rsidR="000F0026">
        <w:t xml:space="preserve">pravnomočno </w:t>
      </w:r>
      <w:r w:rsidR="005E6DA3">
        <w:t>do zaključka postopka na nivoju LAS</w:t>
      </w:r>
      <w:r w:rsidR="00336CB6">
        <w:t>. To</w:t>
      </w:r>
      <w:r w:rsidR="00104B25">
        <w:t xml:space="preserve"> pomeni do </w:t>
      </w:r>
      <w:r w:rsidR="00336CB6">
        <w:t xml:space="preserve">dneva </w:t>
      </w:r>
      <w:r w:rsidR="00104B25">
        <w:t xml:space="preserve">seje UO LAS, na kateri se projekti </w:t>
      </w:r>
      <w:r w:rsidR="00104B25">
        <w:lastRenderedPageBreak/>
        <w:t xml:space="preserve">potrjujejo. V kolikor GD takrat ne bo pravnomočno, projekt ne bo izpolnjeval pogojev za potrditev projekta. </w:t>
      </w:r>
    </w:p>
    <w:p w14:paraId="0D44A565" w14:textId="77777777" w:rsidR="00010E6F" w:rsidRDefault="00010E6F" w:rsidP="00DF79A3"/>
    <w:p w14:paraId="47FC28AB" w14:textId="77777777" w:rsidR="005B1D10" w:rsidRDefault="005B1D10" w:rsidP="00DF79A3"/>
    <w:p w14:paraId="48AC69F9" w14:textId="77777777" w:rsidR="0087007B" w:rsidRPr="00F403DD" w:rsidRDefault="0087007B" w:rsidP="00DF79A3"/>
    <w:p w14:paraId="601F3ACD" w14:textId="77777777" w:rsidR="00B47A11" w:rsidRDefault="00B47A11"/>
    <w:p w14:paraId="127A10D5" w14:textId="77777777" w:rsidR="008E5B05" w:rsidRDefault="008E5B05"/>
    <w:p w14:paraId="28ABC2AC" w14:textId="77777777" w:rsidR="008E5B05" w:rsidRDefault="008E5B05"/>
    <w:p w14:paraId="6D7724E6" w14:textId="77777777" w:rsidR="003A6706" w:rsidRDefault="003A6706"/>
    <w:p w14:paraId="25F3903B" w14:textId="77777777" w:rsidR="003A6706" w:rsidRDefault="003A6706"/>
    <w:sectPr w:rsidR="003A67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06"/>
    <w:rsid w:val="00010E6F"/>
    <w:rsid w:val="000168B8"/>
    <w:rsid w:val="000624F5"/>
    <w:rsid w:val="00067F94"/>
    <w:rsid w:val="000F0026"/>
    <w:rsid w:val="00104B25"/>
    <w:rsid w:val="001227E8"/>
    <w:rsid w:val="00152309"/>
    <w:rsid w:val="001F3CE1"/>
    <w:rsid w:val="00202ADE"/>
    <w:rsid w:val="00212243"/>
    <w:rsid w:val="00226665"/>
    <w:rsid w:val="00250966"/>
    <w:rsid w:val="002A1A47"/>
    <w:rsid w:val="00336CB6"/>
    <w:rsid w:val="003570D1"/>
    <w:rsid w:val="003A6706"/>
    <w:rsid w:val="003C0F9F"/>
    <w:rsid w:val="00472E8F"/>
    <w:rsid w:val="00502C7B"/>
    <w:rsid w:val="00524F82"/>
    <w:rsid w:val="00557194"/>
    <w:rsid w:val="005B1D10"/>
    <w:rsid w:val="005E6DA3"/>
    <w:rsid w:val="005F7B0C"/>
    <w:rsid w:val="006409CE"/>
    <w:rsid w:val="006D0809"/>
    <w:rsid w:val="006E5602"/>
    <w:rsid w:val="007253BF"/>
    <w:rsid w:val="00770A0F"/>
    <w:rsid w:val="007814D5"/>
    <w:rsid w:val="007B0B61"/>
    <w:rsid w:val="007E074E"/>
    <w:rsid w:val="00840051"/>
    <w:rsid w:val="0087007B"/>
    <w:rsid w:val="00883D32"/>
    <w:rsid w:val="008B7678"/>
    <w:rsid w:val="008E5B05"/>
    <w:rsid w:val="009034C3"/>
    <w:rsid w:val="00932F46"/>
    <w:rsid w:val="00984C8E"/>
    <w:rsid w:val="009A2DF5"/>
    <w:rsid w:val="009B41E6"/>
    <w:rsid w:val="00B24289"/>
    <w:rsid w:val="00B25BD1"/>
    <w:rsid w:val="00B47A11"/>
    <w:rsid w:val="00C646B6"/>
    <w:rsid w:val="00C81C3B"/>
    <w:rsid w:val="00CC47CE"/>
    <w:rsid w:val="00CE5F1D"/>
    <w:rsid w:val="00D208CF"/>
    <w:rsid w:val="00DF39CF"/>
    <w:rsid w:val="00DF79A3"/>
    <w:rsid w:val="00E07E6D"/>
    <w:rsid w:val="00E47941"/>
    <w:rsid w:val="00E872AB"/>
    <w:rsid w:val="00EA6AF5"/>
    <w:rsid w:val="00F32325"/>
    <w:rsid w:val="00F403DD"/>
    <w:rsid w:val="00F629FF"/>
    <w:rsid w:val="00F7106A"/>
    <w:rsid w:val="00F84ECA"/>
    <w:rsid w:val="00FC21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A9FF"/>
  <w15:chartTrackingRefBased/>
  <w15:docId w15:val="{6DA071A3-AB79-4A03-AFE5-A3B65C2F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A6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A6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A670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A670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A670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A670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A670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A670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A670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A670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A670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A670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A670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A670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A670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A670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A670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A6706"/>
    <w:rPr>
      <w:rFonts w:eastAsiaTheme="majorEastAsia" w:cstheme="majorBidi"/>
      <w:color w:val="272727" w:themeColor="text1" w:themeTint="D8"/>
    </w:rPr>
  </w:style>
  <w:style w:type="paragraph" w:styleId="Naslov">
    <w:name w:val="Title"/>
    <w:basedOn w:val="Navaden"/>
    <w:next w:val="Navaden"/>
    <w:link w:val="NaslovZnak"/>
    <w:uiPriority w:val="10"/>
    <w:qFormat/>
    <w:rsid w:val="003A6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A670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A670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A670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A6706"/>
    <w:pPr>
      <w:spacing w:before="160"/>
      <w:jc w:val="center"/>
    </w:pPr>
    <w:rPr>
      <w:i/>
      <w:iCs/>
      <w:color w:val="404040" w:themeColor="text1" w:themeTint="BF"/>
    </w:rPr>
  </w:style>
  <w:style w:type="character" w:customStyle="1" w:styleId="CitatZnak">
    <w:name w:val="Citat Znak"/>
    <w:basedOn w:val="Privzetapisavaodstavka"/>
    <w:link w:val="Citat"/>
    <w:uiPriority w:val="29"/>
    <w:rsid w:val="003A6706"/>
    <w:rPr>
      <w:i/>
      <w:iCs/>
      <w:color w:val="404040" w:themeColor="text1" w:themeTint="BF"/>
    </w:rPr>
  </w:style>
  <w:style w:type="paragraph" w:styleId="Odstavekseznama">
    <w:name w:val="List Paragraph"/>
    <w:basedOn w:val="Navaden"/>
    <w:uiPriority w:val="34"/>
    <w:qFormat/>
    <w:rsid w:val="003A6706"/>
    <w:pPr>
      <w:ind w:left="720"/>
      <w:contextualSpacing/>
    </w:pPr>
  </w:style>
  <w:style w:type="character" w:styleId="Intenzivenpoudarek">
    <w:name w:val="Intense Emphasis"/>
    <w:basedOn w:val="Privzetapisavaodstavka"/>
    <w:uiPriority w:val="21"/>
    <w:qFormat/>
    <w:rsid w:val="003A6706"/>
    <w:rPr>
      <w:i/>
      <w:iCs/>
      <w:color w:val="0F4761" w:themeColor="accent1" w:themeShade="BF"/>
    </w:rPr>
  </w:style>
  <w:style w:type="paragraph" w:styleId="Intenzivencitat">
    <w:name w:val="Intense Quote"/>
    <w:basedOn w:val="Navaden"/>
    <w:next w:val="Navaden"/>
    <w:link w:val="IntenzivencitatZnak"/>
    <w:uiPriority w:val="30"/>
    <w:qFormat/>
    <w:rsid w:val="003A6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A6706"/>
    <w:rPr>
      <w:i/>
      <w:iCs/>
      <w:color w:val="0F4761" w:themeColor="accent1" w:themeShade="BF"/>
    </w:rPr>
  </w:style>
  <w:style w:type="character" w:styleId="Intenzivensklic">
    <w:name w:val="Intense Reference"/>
    <w:basedOn w:val="Privzetapisavaodstavka"/>
    <w:uiPriority w:val="32"/>
    <w:qFormat/>
    <w:rsid w:val="003A67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8" ma:contentTypeDescription="Ustvari nov dokument." ma:contentTypeScope="" ma:versionID="28780ffc4611a1ad5c651a55f4ec3daa">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e0eb8a1868784104ddc1492aca4f1d4f"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2627c6-e217-499c-b5a7-cf370326ee79">
      <Terms xmlns="http://schemas.microsoft.com/office/infopath/2007/PartnerControls"/>
    </lcf76f155ced4ddcb4097134ff3c332f>
    <TaxCatchAll xmlns="a63e6597-4531-4dc2-bc76-96d4fb27f392" xsi:nil="true"/>
  </documentManagement>
</p:properties>
</file>

<file path=customXml/itemProps1.xml><?xml version="1.0" encoding="utf-8"?>
<ds:datastoreItem xmlns:ds="http://schemas.openxmlformats.org/officeDocument/2006/customXml" ds:itemID="{5FAA8B16-4B44-456F-AD92-E5F0B32E3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B7751-3FAD-4AC9-80F1-5988B0ED7215}">
  <ds:schemaRefs>
    <ds:schemaRef ds:uri="http://schemas.microsoft.com/sharepoint/v3/contenttype/forms"/>
  </ds:schemaRefs>
</ds:datastoreItem>
</file>

<file path=customXml/itemProps3.xml><?xml version="1.0" encoding="utf-8"?>
<ds:datastoreItem xmlns:ds="http://schemas.openxmlformats.org/officeDocument/2006/customXml" ds:itemID="{4E36B196-BADC-4922-827A-22DFC3F4F1B3}">
  <ds:schemaRefs>
    <ds:schemaRef ds:uri="http://schemas.microsoft.com/office/2006/metadata/properties"/>
    <ds:schemaRef ds:uri="http://schemas.microsoft.com/office/infopath/2007/PartnerControls"/>
    <ds:schemaRef ds:uri="f42627c6-e217-499c-b5a7-cf370326ee79"/>
    <ds:schemaRef ds:uri="a63e6597-4531-4dc2-bc76-96d4fb27f392"/>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GORJUP</dc:creator>
  <cp:keywords/>
  <dc:description/>
  <cp:lastModifiedBy>Vesna Gorjup Janžekovič</cp:lastModifiedBy>
  <cp:revision>61</cp:revision>
  <dcterms:created xsi:type="dcterms:W3CDTF">2024-07-17T07:15:00Z</dcterms:created>
  <dcterms:modified xsi:type="dcterms:W3CDTF">2024-11-26T13:33:00Z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0x010100BE30284FCED48548B9B0C20996C68E03</vt:lpwstr>
  </property>
  <property fmtid="{D5CDD505-2E9C-101B-9397-08002B2CF9AE}" pid="3" name="MediaServiceImageTags">
    <vt:lpwstr/>
  </property>
</Properties>
</file>